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DCA1E">
      <w:pPr>
        <w:jc w:val="both"/>
        <w:rPr>
          <w:rFonts w:hint="default"/>
          <w:lang w:val="es-ES"/>
        </w:rPr>
      </w:pPr>
      <w:bookmarkStart w:id="0" w:name="_GoBack"/>
      <w:r>
        <w:rPr>
          <w:sz w:val="44"/>
          <w:szCs w:val="44"/>
        </w:rPr>
        <w:t>La creación del Servicio de Integridad Cutánea</w:t>
      </w:r>
      <w:bookmarkEnd w:id="0"/>
      <w:r>
        <w:rPr>
          <w:rFonts w:hint="default"/>
          <w:lang w:val="es-ES"/>
        </w:rPr>
        <w:t xml:space="preserve"> en enfermería</w:t>
      </w:r>
      <w:r>
        <w:t xml:space="preserve"> representa un hito fundamental en la evolución de la práctica </w:t>
      </w:r>
      <w:r>
        <w:rPr>
          <w:rFonts w:hint="default"/>
          <w:lang w:val="es-ES"/>
        </w:rPr>
        <w:t>profesional</w:t>
      </w:r>
      <w:r>
        <w:t>. Desde el trabajo cotidiano en el área, la</w:t>
      </w:r>
      <w:r>
        <w:rPr>
          <w:rFonts w:hint="default"/>
          <w:lang w:val="es-ES"/>
        </w:rPr>
        <w:t xml:space="preserve"> valoración integral y clínica de enfermería, </w:t>
      </w:r>
      <w:r>
        <w:t>ha logrado transformar un cuidado tradicionalmente fragmentado en una atención</w:t>
      </w:r>
      <w:r>
        <w:rPr>
          <w:rFonts w:hint="default"/>
          <w:lang w:val="es-ES"/>
        </w:rPr>
        <w:t xml:space="preserve"> integradora</w:t>
      </w:r>
      <w:r>
        <w:t xml:space="preserve"> especializada, protocolizada</w:t>
      </w:r>
      <w:r>
        <w:rPr>
          <w:rFonts w:hint="default"/>
          <w:lang w:val="es-ES"/>
        </w:rPr>
        <w:t xml:space="preserve">, </w:t>
      </w:r>
      <w:r>
        <w:t xml:space="preserve">centrada en </w:t>
      </w:r>
      <w:r>
        <w:rPr>
          <w:rFonts w:hint="default"/>
          <w:lang w:val="es-ES"/>
        </w:rPr>
        <w:t>el paciente y sus necesidades, la participación del pte en la toma decisión sobre su tratamiento, la valoración de su entorno de cuidados y acompañamiento, son cruciales para su recuperación y representan gran parte del éxito en la curación de lesiones de piel.</w:t>
      </w:r>
    </w:p>
    <w:p w14:paraId="1D23DFDE">
      <w:pPr>
        <w:jc w:val="both"/>
        <w:rPr>
          <w:rFonts w:hint="default"/>
          <w:lang w:val="es-ES"/>
        </w:rPr>
      </w:pPr>
      <w:r>
        <w:rPr>
          <w:rFonts w:hint="default"/>
          <w:lang w:val="es-ES"/>
        </w:rPr>
        <w:t xml:space="preserve">Este abordaje </w:t>
      </w:r>
      <w:r>
        <w:t>permite a la enfermería liderar la valoración integral de la piel, la prevención de lesiones</w:t>
      </w:r>
      <w:r>
        <w:rPr>
          <w:rFonts w:hint="default"/>
          <w:lang w:val="es-ES"/>
        </w:rPr>
        <w:t>, la educación del paciente-familia</w:t>
      </w:r>
      <w:r>
        <w:t xml:space="preserve"> y la aplicación de terapéuticas avanzadas e innovadoras, demostrando que el cuidado de las heridas va mucho más allá de una técnica de curación; es una disciplina de alta complejidad que exige juicio clínico autónomo</w:t>
      </w:r>
      <w:r>
        <w:rPr>
          <w:rFonts w:hint="default"/>
          <w:lang w:val="es-ES"/>
        </w:rPr>
        <w:t xml:space="preserve"> con lo que hemos podido lograr la meta de no tener lesiones generadas por falta cuidado y prevención.</w:t>
      </w:r>
    </w:p>
    <w:p w14:paraId="0D13D8C6">
      <w:pPr>
        <w:jc w:val="both"/>
      </w:pPr>
      <w:r>
        <w:t>Los resultados acumulados reafirman la utilidad estratégica de estos servicios. Para la profesión, significa:</w:t>
      </w:r>
    </w:p>
    <w:p w14:paraId="4D6FCE7D">
      <w:pPr>
        <w:numPr>
          <w:ilvl w:val="0"/>
          <w:numId w:val="1"/>
        </w:numPr>
        <w:jc w:val="both"/>
      </w:pPr>
      <w:r>
        <w:rPr>
          <w:b/>
          <w:bCs/>
        </w:rPr>
        <w:t>Aumento del liderazgo y la autonomía profesional:</w:t>
      </w:r>
      <w:r>
        <w:t xml:space="preserve"> Posiciona a la enfermera como referente en decisiones clínicas interdisciplinarias.</w:t>
      </w:r>
    </w:p>
    <w:p w14:paraId="555171D8">
      <w:pPr>
        <w:numPr>
          <w:ilvl w:val="0"/>
          <w:numId w:val="1"/>
        </w:numPr>
        <w:jc w:val="both"/>
      </w:pPr>
      <w:r>
        <w:rPr>
          <w:b/>
          <w:bCs/>
        </w:rPr>
        <w:t>Optimización de recursos e indicadores:</w:t>
      </w:r>
      <w:r>
        <w:t xml:space="preserve"> Disminuye significativamente la estancia hospitalaria, reduce las tasas de infección y optimiza el uso de insumos de avanzada, logrando una gestión de costos eficiente.</w:t>
      </w:r>
    </w:p>
    <w:p w14:paraId="30893C8B">
      <w:pPr>
        <w:numPr>
          <w:ilvl w:val="0"/>
          <w:numId w:val="1"/>
        </w:numPr>
        <w:jc w:val="both"/>
      </w:pPr>
      <w:r>
        <w:rPr>
          <w:b/>
          <w:bCs/>
        </w:rPr>
        <w:t>Desarrollo de competencias especializadas:</w:t>
      </w:r>
      <w:r>
        <w:t xml:space="preserve"> Impulsa la formación continua, la docencia y la investigación basada en la práctica propia.</w:t>
      </w:r>
    </w:p>
    <w:p w14:paraId="2489E5B2">
      <w:pPr>
        <w:jc w:val="both"/>
      </w:pPr>
      <w:r>
        <w:t>En el centro de este desarrollo profesional se encuentra el cuidado humanizado. La pérdida de la integridad cutánea impacta profundamente en la calidad de vida, la autoimagen, la autonomía y el bienestar socioemocional de la persona sobretodo en este grupo etario en donde la fragilidad capilar como las comorbilidades no ayuda en una rápida cicatrizacion. Una herida compleja suele vivirse con dolor, estigma y aislamiento.</w:t>
      </w:r>
    </w:p>
    <w:p w14:paraId="593DA66B">
      <w:pPr>
        <w:jc w:val="both"/>
      </w:pPr>
      <w:r>
        <w:t>El Servicio de Integridad Cutánea devuelve el rostro humano a la atención técnica:</w:t>
      </w:r>
    </w:p>
    <w:p w14:paraId="2D263F06">
      <w:pPr>
        <w:numPr>
          <w:ilvl w:val="0"/>
          <w:numId w:val="2"/>
        </w:numPr>
        <w:jc w:val="both"/>
      </w:pPr>
      <w:r>
        <w:rPr>
          <w:b/>
          <w:bCs/>
        </w:rPr>
        <w:t>Escucha activa y empatía:</w:t>
      </w:r>
      <w:r>
        <w:t xml:space="preserve"> Priorizamos la gestión del dolor y el sufrimiento percibido por el paciente.</w:t>
      </w:r>
    </w:p>
    <w:p w14:paraId="2F4C8F17">
      <w:pPr>
        <w:numPr>
          <w:ilvl w:val="0"/>
          <w:numId w:val="2"/>
        </w:numPr>
        <w:jc w:val="both"/>
      </w:pPr>
      <w:r>
        <w:rPr>
          <w:b/>
          <w:bCs/>
        </w:rPr>
        <w:t>Educación y empoderamiento:</w:t>
      </w:r>
      <w:r>
        <w:t xml:space="preserve"> Involucramos al usuario y a su red de apoyo en el proceso de cicatrización y prevención, respetando sus tiempos y valores.</w:t>
      </w:r>
    </w:p>
    <w:p w14:paraId="271A2AE4">
      <w:pPr>
        <w:numPr>
          <w:ilvl w:val="0"/>
          <w:numId w:val="2"/>
        </w:numPr>
        <w:jc w:val="both"/>
      </w:pPr>
      <w:r>
        <w:rPr>
          <w:b/>
          <w:bCs/>
        </w:rPr>
        <w:t>Dignificación del cuidado:</w:t>
      </w:r>
      <w:r>
        <w:t xml:space="preserve"> Tratamos la piel no solo como un tejido a reparar, sino como la superficie donde se manifiesta la vulnerabilidad de la persona.</w:t>
      </w:r>
    </w:p>
    <w:p w14:paraId="4DDBFCC3">
      <w:pPr>
        <w:jc w:val="both"/>
      </w:pPr>
      <w:r>
        <w:t>La viabilidad y sostenibilidad de estos campos de trabajo en el tiempo dependen de articular tres pilares fundamentales:</w:t>
      </w:r>
    </w:p>
    <w:p w14:paraId="0B7CA0A1">
      <w:pPr>
        <w:numPr>
          <w:ilvl w:val="0"/>
          <w:numId w:val="3"/>
        </w:numPr>
        <w:jc w:val="both"/>
      </w:pPr>
      <w:r>
        <w:rPr>
          <w:b/>
          <w:bCs/>
        </w:rPr>
        <w:t>Fundamentación Científica y Registro:</w:t>
      </w:r>
      <w:r>
        <w:t xml:space="preserve"> Producir datos estadísticos e investigaciones propias que visibilicen el impacto clínico y económico del servicio.</w:t>
      </w:r>
    </w:p>
    <w:p w14:paraId="472B0785">
      <w:pPr>
        <w:numPr>
          <w:ilvl w:val="0"/>
          <w:numId w:val="3"/>
        </w:numPr>
        <w:jc w:val="both"/>
      </w:pPr>
      <w:r>
        <w:rPr>
          <w:b/>
          <w:bCs/>
        </w:rPr>
        <w:t>Institucionalización de Protocolos:</w:t>
      </w:r>
      <w:r>
        <w:t xml:space="preserve"> Garantizar que las guías de buenas prácticas y la gestión del riesgo se integren de manera transversal en todas las áreas de la institución.</w:t>
      </w:r>
    </w:p>
    <w:p w14:paraId="58CC5AA6">
      <w:pPr>
        <w:numPr>
          <w:ilvl w:val="0"/>
          <w:numId w:val="3"/>
        </w:numPr>
        <w:jc w:val="both"/>
      </w:pPr>
      <w:r>
        <w:rPr>
          <w:b/>
          <w:bCs/>
        </w:rPr>
        <w:t>Especialización Continua:</w:t>
      </w:r>
      <w:r>
        <w:t xml:space="preserve"> Fomentar programas académicos que respalden el rol de la enfermera especialista en lesiones cutáneas.</w:t>
      </w:r>
    </w:p>
    <w:p w14:paraId="4DFFBC59">
      <w:pPr>
        <w:jc w:val="both"/>
      </w:pPr>
      <w:r>
        <w:t>La apertura y consolidación de los Servicios de Integridad Cutánea demuestra el potencial transformador de Enfermería. Sostener estos espacios en el tiempo no solo es útil y rentable para el sistema de salud, sino que resulta éticamente indispensable para garantizar una atención de excelencia, donde la máxima competencia técnica se combine indisolublemente con la calidez y el respeto por la dignidad humana.</w:t>
      </w:r>
    </w:p>
    <w:p w14:paraId="67D3A699"/>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B5207"/>
    <w:multiLevelType w:val="multilevel"/>
    <w:tmpl w:val="314B520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A726F09"/>
    <w:multiLevelType w:val="multilevel"/>
    <w:tmpl w:val="3A726F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4E717818"/>
    <w:multiLevelType w:val="multilevel"/>
    <w:tmpl w:val="4E7178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A4"/>
    <w:rsid w:val="001B4084"/>
    <w:rsid w:val="00713C25"/>
    <w:rsid w:val="007D15A4"/>
    <w:rsid w:val="00833068"/>
    <w:rsid w:val="00DD01BA"/>
    <w:rsid w:val="226E6851"/>
    <w:rsid w:val="3D606E70"/>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s-AR"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Título 1 C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Título 2 C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Título 3 Car"/>
    <w:basedOn w:val="11"/>
    <w:link w:val="4"/>
    <w:semiHidden/>
    <w:uiPriority w:val="9"/>
    <w:rPr>
      <w:rFonts w:eastAsiaTheme="majorEastAsia" w:cstheme="majorBidi"/>
      <w:color w:val="2F5597" w:themeColor="accent1" w:themeShade="BF"/>
      <w:sz w:val="28"/>
      <w:szCs w:val="28"/>
    </w:rPr>
  </w:style>
  <w:style w:type="character" w:customStyle="1" w:styleId="18">
    <w:name w:val="Título 4 Car"/>
    <w:basedOn w:val="11"/>
    <w:link w:val="5"/>
    <w:semiHidden/>
    <w:uiPriority w:val="9"/>
    <w:rPr>
      <w:rFonts w:eastAsiaTheme="majorEastAsia" w:cstheme="majorBidi"/>
      <w:i/>
      <w:iCs/>
      <w:color w:val="2F5597" w:themeColor="accent1" w:themeShade="BF"/>
    </w:rPr>
  </w:style>
  <w:style w:type="character" w:customStyle="1" w:styleId="19">
    <w:name w:val="Título 5 Car"/>
    <w:basedOn w:val="11"/>
    <w:link w:val="6"/>
    <w:semiHidden/>
    <w:qFormat/>
    <w:uiPriority w:val="9"/>
    <w:rPr>
      <w:rFonts w:eastAsiaTheme="majorEastAsia" w:cstheme="majorBidi"/>
      <w:color w:val="2F5597" w:themeColor="accent1" w:themeShade="BF"/>
    </w:rPr>
  </w:style>
  <w:style w:type="character" w:customStyle="1" w:styleId="20">
    <w:name w:val="Título 6 C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Título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Título 8 C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Título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ítulo C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ítulo C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 C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Cita destacada Car"/>
    <w:basedOn w:val="11"/>
    <w:link w:val="30"/>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494</Words>
  <Characters>2720</Characters>
  <Lines>22</Lines>
  <Paragraphs>6</Paragraphs>
  <TotalTime>28</TotalTime>
  <ScaleCrop>false</ScaleCrop>
  <LinksUpToDate>false</LinksUpToDate>
  <CharactersWithSpaces>3208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2026-07-26T12:55:00Z</dcterms:created>
  <dc:creator>natalia De Bortoli</dc:creator>
  <cp:lastModifiedBy>Daniel Fiori</cp:lastModifiedBy>
  <dcterms:modified xsi:type="dcterms:W3CDTF">2026-07-30T13:34:56Z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eyJoZGlkIjoiODkzYjA3MzJiYTRhZWY0YjljYTkzNzY0YjhmM2MyMjkiLCJ1c2VySWQiOiIxNTQxMTA0NDQyMTc2NSJ9</vt:lpwstr>
  </property>
  <property fmtid="{D5CDD505-2E9C-101B-9397-08002B2CF9AE}" pid="3" name="KSOProductBuildVer">
    <vt:lpwstr>3082-12.1.0.27458</vt:lpwstr>
  </property>
  <property fmtid="{D5CDD505-2E9C-101B-9397-08002B2CF9AE}" pid="4" name="ICV">
    <vt:lpwstr>3299616CFD9B40F88B3B61F8C21029D4_12</vt:lpwstr>
  </property>
</Properties>
</file>